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715F" w:rsidRPr="00494B77" w:rsidRDefault="0041715F" w:rsidP="0041715F">
      <w:pPr>
        <w:jc w:val="both"/>
        <w:rPr>
          <w:b/>
          <w:szCs w:val="24"/>
        </w:rPr>
      </w:pPr>
      <w:r w:rsidRPr="00494B77">
        <w:rPr>
          <w:b/>
          <w:szCs w:val="24"/>
        </w:rPr>
        <w:t>Příloha č. 13 – Zpracování finanční hotovosti</w:t>
      </w:r>
    </w:p>
    <w:p w:rsidR="0041715F" w:rsidRPr="00494B77" w:rsidRDefault="0041715F" w:rsidP="0041715F">
      <w:pPr>
        <w:jc w:val="both"/>
        <w:rPr>
          <w:i/>
          <w:szCs w:val="24"/>
        </w:rPr>
      </w:pPr>
      <w:r w:rsidRPr="00494B77">
        <w:rPr>
          <w:i/>
          <w:szCs w:val="24"/>
        </w:rPr>
        <w:tab/>
      </w:r>
    </w:p>
    <w:p w:rsidR="0041715F" w:rsidRPr="00494B77" w:rsidRDefault="0041715F" w:rsidP="0041715F">
      <w:pPr>
        <w:pStyle w:val="Normln1"/>
        <w:spacing w:before="60"/>
        <w:rPr>
          <w:b/>
          <w:i/>
          <w:sz w:val="24"/>
          <w:szCs w:val="24"/>
        </w:rPr>
      </w:pPr>
    </w:p>
    <w:p w:rsidR="0041715F" w:rsidRPr="00494B77" w:rsidRDefault="0041715F" w:rsidP="0041715F">
      <w:pPr>
        <w:jc w:val="both"/>
        <w:rPr>
          <w:szCs w:val="24"/>
        </w:rPr>
      </w:pPr>
      <w:r w:rsidRPr="00494B77">
        <w:rPr>
          <w:szCs w:val="24"/>
        </w:rPr>
        <w:t>Služba: poskytování bezpečnostní služby chráněné pozemní přepravy hotovosti, výběr hotovosti a zpracování hotovosti, to vše na své nebezpečí a odpovědnost,</w:t>
      </w:r>
      <w:r w:rsidR="00494B77" w:rsidRPr="00494B77">
        <w:rPr>
          <w:szCs w:val="24"/>
        </w:rPr>
        <w:t xml:space="preserve"> a to ode dne účinnosti S</w:t>
      </w:r>
      <w:r w:rsidRPr="00494B77">
        <w:rPr>
          <w:szCs w:val="24"/>
        </w:rPr>
        <w:t>mlouvy, a za po</w:t>
      </w:r>
      <w:r w:rsidR="00494B77" w:rsidRPr="00494B77">
        <w:rPr>
          <w:szCs w:val="24"/>
        </w:rPr>
        <w:t>dmínek a v rozsahu stanovených S</w:t>
      </w:r>
      <w:r w:rsidRPr="00494B77">
        <w:rPr>
          <w:szCs w:val="24"/>
        </w:rPr>
        <w:t xml:space="preserve">mlouvou a příslušnou specifikací služeb uvedených v této příloze. </w:t>
      </w:r>
    </w:p>
    <w:p w:rsidR="0041715F" w:rsidRPr="00494B77" w:rsidRDefault="0041715F" w:rsidP="0041715F">
      <w:pPr>
        <w:jc w:val="both"/>
        <w:rPr>
          <w:szCs w:val="24"/>
        </w:rPr>
      </w:pPr>
    </w:p>
    <w:p w:rsidR="0041715F" w:rsidRPr="00494B77" w:rsidRDefault="0041715F" w:rsidP="0041715F">
      <w:pPr>
        <w:widowControl w:val="0"/>
        <w:overflowPunct/>
        <w:jc w:val="both"/>
        <w:textAlignment w:val="auto"/>
        <w:rPr>
          <w:szCs w:val="24"/>
        </w:rPr>
      </w:pPr>
      <w:r w:rsidRPr="00494B77">
        <w:rPr>
          <w:szCs w:val="24"/>
        </w:rPr>
        <w:t>Poskytovanými službami</w:t>
      </w:r>
      <w:r w:rsidR="00494B77" w:rsidRPr="00494B77">
        <w:rPr>
          <w:szCs w:val="24"/>
        </w:rPr>
        <w:t xml:space="preserve"> se pro účely této S</w:t>
      </w:r>
      <w:r w:rsidRPr="00494B77">
        <w:rPr>
          <w:szCs w:val="24"/>
        </w:rPr>
        <w:t>mlouvy rozumějí činnosti Správce vykonávané pro Objednatele</w:t>
      </w:r>
      <w:r w:rsidR="00494B77">
        <w:rPr>
          <w:szCs w:val="24"/>
        </w:rPr>
        <w:t xml:space="preserve"> na základě této S</w:t>
      </w:r>
      <w:r w:rsidRPr="00494B77">
        <w:rPr>
          <w:szCs w:val="24"/>
        </w:rPr>
        <w:t>mlouvy, pod pojistným krytím, a to zejména:</w:t>
      </w:r>
    </w:p>
    <w:p w:rsidR="0041715F" w:rsidRPr="00494B77" w:rsidRDefault="0041715F" w:rsidP="0041715F">
      <w:pPr>
        <w:ind w:left="360"/>
        <w:jc w:val="both"/>
        <w:rPr>
          <w:szCs w:val="24"/>
        </w:rPr>
      </w:pPr>
    </w:p>
    <w:p w:rsidR="0041715F" w:rsidRPr="00494B77" w:rsidRDefault="0041715F" w:rsidP="0041715F">
      <w:pPr>
        <w:widowControl w:val="0"/>
        <w:numPr>
          <w:ilvl w:val="1"/>
          <w:numId w:val="1"/>
        </w:numPr>
        <w:tabs>
          <w:tab w:val="clear" w:pos="1440"/>
        </w:tabs>
        <w:overflowPunct/>
        <w:ind w:left="1200" w:hanging="480"/>
        <w:jc w:val="both"/>
        <w:textAlignment w:val="auto"/>
        <w:rPr>
          <w:szCs w:val="24"/>
        </w:rPr>
      </w:pPr>
      <w:r w:rsidRPr="00494B77">
        <w:rPr>
          <w:szCs w:val="24"/>
        </w:rPr>
        <w:t>výběr finančních hotovostí z turniketů veřejných WC v </w:t>
      </w:r>
      <w:proofErr w:type="spellStart"/>
      <w:r w:rsidRPr="00494B77">
        <w:rPr>
          <w:szCs w:val="24"/>
        </w:rPr>
        <w:t>žst</w:t>
      </w:r>
      <w:proofErr w:type="spellEnd"/>
      <w:r w:rsidRPr="00494B77">
        <w:rPr>
          <w:szCs w:val="24"/>
        </w:rPr>
        <w:t>. Praha hlavní nádraží;</w:t>
      </w:r>
    </w:p>
    <w:p w:rsidR="0041715F" w:rsidRPr="00494B77" w:rsidRDefault="0041715F" w:rsidP="0041715F">
      <w:pPr>
        <w:widowControl w:val="0"/>
        <w:numPr>
          <w:ilvl w:val="1"/>
          <w:numId w:val="1"/>
        </w:numPr>
        <w:tabs>
          <w:tab w:val="clear" w:pos="1440"/>
        </w:tabs>
        <w:overflowPunct/>
        <w:ind w:left="1200" w:hanging="480"/>
        <w:jc w:val="both"/>
        <w:textAlignment w:val="auto"/>
        <w:rPr>
          <w:szCs w:val="24"/>
        </w:rPr>
      </w:pPr>
      <w:r w:rsidRPr="00494B77">
        <w:rPr>
          <w:szCs w:val="24"/>
        </w:rPr>
        <w:t>naložení finančních hotovostí do přepravního vozidla;</w:t>
      </w:r>
    </w:p>
    <w:p w:rsidR="0041715F" w:rsidRPr="00494B77" w:rsidRDefault="0041715F" w:rsidP="0041715F">
      <w:pPr>
        <w:widowControl w:val="0"/>
        <w:numPr>
          <w:ilvl w:val="1"/>
          <w:numId w:val="1"/>
        </w:numPr>
        <w:tabs>
          <w:tab w:val="clear" w:pos="1440"/>
        </w:tabs>
        <w:overflowPunct/>
        <w:ind w:left="1200" w:hanging="480"/>
        <w:jc w:val="both"/>
        <w:textAlignment w:val="auto"/>
        <w:rPr>
          <w:szCs w:val="24"/>
        </w:rPr>
      </w:pPr>
      <w:r w:rsidRPr="00494B77">
        <w:rPr>
          <w:szCs w:val="24"/>
        </w:rPr>
        <w:t>převoz finančních hotovostí na určené místo a jejich zpracování (přepočet, rozdělení dle hodnoty mincí a bankovek, vložení do obalu);</w:t>
      </w:r>
    </w:p>
    <w:p w:rsidR="0041715F" w:rsidRPr="00494B77" w:rsidRDefault="0041715F" w:rsidP="0041715F">
      <w:pPr>
        <w:widowControl w:val="0"/>
        <w:numPr>
          <w:ilvl w:val="1"/>
          <w:numId w:val="1"/>
        </w:numPr>
        <w:tabs>
          <w:tab w:val="clear" w:pos="1440"/>
        </w:tabs>
        <w:overflowPunct/>
        <w:ind w:left="1200" w:hanging="480"/>
        <w:jc w:val="both"/>
        <w:textAlignment w:val="auto"/>
        <w:rPr>
          <w:szCs w:val="24"/>
        </w:rPr>
      </w:pPr>
      <w:r w:rsidRPr="00494B77">
        <w:rPr>
          <w:szCs w:val="24"/>
        </w:rPr>
        <w:t>vyložení finančních hotovostí a zpracování takového vyložení;</w:t>
      </w:r>
    </w:p>
    <w:p w:rsidR="0041715F" w:rsidRPr="00494B77" w:rsidRDefault="0041715F" w:rsidP="0041715F">
      <w:pPr>
        <w:widowControl w:val="0"/>
        <w:numPr>
          <w:ilvl w:val="1"/>
          <w:numId w:val="1"/>
        </w:numPr>
        <w:tabs>
          <w:tab w:val="clear" w:pos="1440"/>
        </w:tabs>
        <w:overflowPunct/>
        <w:ind w:left="1200" w:hanging="480"/>
        <w:jc w:val="both"/>
        <w:textAlignment w:val="auto"/>
        <w:rPr>
          <w:szCs w:val="24"/>
        </w:rPr>
      </w:pPr>
      <w:r w:rsidRPr="00494B77">
        <w:rPr>
          <w:szCs w:val="24"/>
        </w:rPr>
        <w:t xml:space="preserve">odevzdání zásilek finančních hotovostí </w:t>
      </w:r>
      <w:r w:rsidR="00230C9C" w:rsidRPr="00494B77">
        <w:rPr>
          <w:szCs w:val="24"/>
        </w:rPr>
        <w:t>do banky.</w:t>
      </w:r>
    </w:p>
    <w:p w:rsidR="0041715F" w:rsidRPr="00494B77" w:rsidRDefault="0041715F" w:rsidP="0041715F">
      <w:pPr>
        <w:ind w:left="1080"/>
        <w:jc w:val="both"/>
        <w:rPr>
          <w:szCs w:val="24"/>
        </w:rPr>
      </w:pPr>
    </w:p>
    <w:p w:rsidR="0041715F" w:rsidRPr="00494B77" w:rsidRDefault="0041715F" w:rsidP="0041715F">
      <w:pPr>
        <w:widowControl w:val="0"/>
        <w:overflowPunct/>
        <w:jc w:val="both"/>
        <w:textAlignment w:val="auto"/>
        <w:rPr>
          <w:szCs w:val="24"/>
        </w:rPr>
      </w:pPr>
      <w:r w:rsidRPr="00494B77">
        <w:rPr>
          <w:szCs w:val="24"/>
        </w:rPr>
        <w:t xml:space="preserve">Zásilkou nebo finanční hotovostí se pro účely této smlouvy rozumí finanční hotovost uložená v obalu včetně tohoto obalu, kdy obal musí být takovým způsobem uzavřený, aby ho nebylo možno bez zjevného poškození otevřít. Uzávěr obalu musí být zajištěný jednorázovou plombou identifikovatelnou podle jedinečného čísla, případně i série. Plomba musí být konstruovaná tak, aby ji nebylo možné bez poškození otevřít a znovu uzavřít. Číselné označení používaných plomb se nesmí ve stejné barvě a konstrukčním provedení opakovat. Pokud je uzávěr obalu zajištěný jiným způsobem než plombou, např. samolepící bezpečnostní páskou, musí být takovýto obal opatřený identifikačním číslem, případně i sérií, které se nesmí na používaných obalech opakovat. To vše je povinen zajistit Správce. </w:t>
      </w:r>
    </w:p>
    <w:p w:rsidR="0041715F" w:rsidRPr="00494B77" w:rsidRDefault="0041715F" w:rsidP="0041715F">
      <w:pPr>
        <w:jc w:val="both"/>
        <w:rPr>
          <w:szCs w:val="24"/>
        </w:rPr>
      </w:pPr>
    </w:p>
    <w:p w:rsidR="0041715F" w:rsidRPr="00494B77" w:rsidRDefault="0041715F" w:rsidP="0041715F">
      <w:pPr>
        <w:widowControl w:val="0"/>
        <w:overflowPunct/>
        <w:jc w:val="both"/>
        <w:textAlignment w:val="auto"/>
        <w:rPr>
          <w:szCs w:val="24"/>
        </w:rPr>
      </w:pPr>
      <w:r w:rsidRPr="00494B77">
        <w:rPr>
          <w:szCs w:val="24"/>
        </w:rPr>
        <w:t>Finanční hot</w:t>
      </w:r>
      <w:r w:rsidR="00494B77">
        <w:rPr>
          <w:szCs w:val="24"/>
        </w:rPr>
        <w:t>ovostí se pro účely této S</w:t>
      </w:r>
      <w:r w:rsidRPr="00494B77">
        <w:rPr>
          <w:szCs w:val="24"/>
        </w:rPr>
        <w:t>mlouvy rozumí finanční hotovost v měně CZK nebo EUR (mince i bankovky).</w:t>
      </w:r>
    </w:p>
    <w:p w:rsidR="0041715F" w:rsidRPr="00494B77" w:rsidRDefault="0041715F" w:rsidP="0041715F">
      <w:pPr>
        <w:pStyle w:val="Odstavecseseznamem"/>
        <w:ind w:left="0"/>
        <w:rPr>
          <w:sz w:val="24"/>
          <w:szCs w:val="24"/>
        </w:rPr>
      </w:pPr>
    </w:p>
    <w:p w:rsidR="00230C9C" w:rsidRPr="00494B77" w:rsidRDefault="00230C9C" w:rsidP="0041715F">
      <w:pPr>
        <w:pStyle w:val="Odstavecseseznamem"/>
        <w:ind w:left="0"/>
        <w:rPr>
          <w:sz w:val="24"/>
          <w:szCs w:val="24"/>
        </w:rPr>
      </w:pPr>
      <w:r w:rsidRPr="00494B77">
        <w:rPr>
          <w:sz w:val="24"/>
          <w:szCs w:val="24"/>
        </w:rPr>
        <w:t xml:space="preserve">Bankou se rozumí banka </w:t>
      </w:r>
      <w:r w:rsidRPr="00494B77">
        <w:rPr>
          <w:sz w:val="24"/>
          <w:szCs w:val="24"/>
          <w:highlight w:val="yellow"/>
        </w:rPr>
        <w:t>…………</w:t>
      </w:r>
      <w:r w:rsidRPr="00494B77">
        <w:rPr>
          <w:sz w:val="24"/>
          <w:szCs w:val="24"/>
        </w:rPr>
        <w:t>, kde má Správce založen bankovní účet ke skládání zpracované finanční hotovosti a převádění na účty Objednatele.</w:t>
      </w:r>
    </w:p>
    <w:p w:rsidR="00230C9C" w:rsidRPr="00494B77" w:rsidRDefault="00230C9C" w:rsidP="0041715F">
      <w:pPr>
        <w:pStyle w:val="Odstavecseseznamem"/>
        <w:ind w:left="0"/>
        <w:rPr>
          <w:sz w:val="24"/>
          <w:szCs w:val="24"/>
        </w:rPr>
      </w:pPr>
    </w:p>
    <w:p w:rsidR="0041715F" w:rsidRPr="00494B77" w:rsidRDefault="0041715F" w:rsidP="0041715F">
      <w:pPr>
        <w:pStyle w:val="Zkladntextodsazen"/>
        <w:overflowPunct/>
        <w:autoSpaceDE/>
        <w:autoSpaceDN/>
        <w:adjustRightInd/>
        <w:spacing w:after="0"/>
        <w:ind w:left="0"/>
        <w:jc w:val="both"/>
        <w:textAlignment w:val="auto"/>
        <w:rPr>
          <w:szCs w:val="24"/>
        </w:rPr>
      </w:pPr>
      <w:r w:rsidRPr="00494B77">
        <w:rPr>
          <w:szCs w:val="24"/>
        </w:rPr>
        <w:t xml:space="preserve">Správce prohlašuje, že je pro účely plnění zpracování finanční hotovosti po celou dobu trvání této smlouvy řádně pojištěn v rozsahu pokrývajícím veškerá rizika </w:t>
      </w:r>
      <w:r w:rsidR="00494366">
        <w:rPr>
          <w:szCs w:val="24"/>
        </w:rPr>
        <w:t>Správce</w:t>
      </w:r>
      <w:r w:rsidRPr="00494B77">
        <w:rPr>
          <w:szCs w:val="24"/>
        </w:rPr>
        <w:t xml:space="preserve"> z této </w:t>
      </w:r>
      <w:r w:rsidR="00494366">
        <w:rPr>
          <w:szCs w:val="24"/>
        </w:rPr>
        <w:t>přílohy č. 13</w:t>
      </w:r>
      <w:r w:rsidRPr="00494B77">
        <w:rPr>
          <w:szCs w:val="24"/>
        </w:rPr>
        <w:t xml:space="preserve">, minimálně však </w:t>
      </w:r>
      <w:r w:rsidR="00494B77">
        <w:rPr>
          <w:szCs w:val="24"/>
        </w:rPr>
        <w:t>50.000.000</w:t>
      </w:r>
      <w:r w:rsidRPr="00494B77">
        <w:rPr>
          <w:szCs w:val="24"/>
        </w:rPr>
        <w:t>,- Kč.</w:t>
      </w:r>
    </w:p>
    <w:p w:rsidR="0041715F" w:rsidRPr="00494B77" w:rsidRDefault="0041715F" w:rsidP="0041715F">
      <w:pPr>
        <w:pStyle w:val="Zkladntextodsazen"/>
        <w:overflowPunct/>
        <w:autoSpaceDE/>
        <w:autoSpaceDN/>
        <w:adjustRightInd/>
        <w:spacing w:after="0"/>
        <w:ind w:left="705" w:hanging="705"/>
        <w:jc w:val="both"/>
        <w:textAlignment w:val="auto"/>
        <w:rPr>
          <w:szCs w:val="24"/>
        </w:rPr>
      </w:pPr>
    </w:p>
    <w:p w:rsidR="0041715F" w:rsidRPr="00494B77" w:rsidRDefault="0041715F" w:rsidP="0041715F">
      <w:pPr>
        <w:pStyle w:val="Zkladntextodsazen"/>
        <w:overflowPunct/>
        <w:autoSpaceDE/>
        <w:autoSpaceDN/>
        <w:adjustRightInd/>
        <w:spacing w:after="0"/>
        <w:ind w:left="0"/>
        <w:jc w:val="both"/>
        <w:textAlignment w:val="auto"/>
        <w:rPr>
          <w:szCs w:val="24"/>
        </w:rPr>
      </w:pPr>
      <w:r w:rsidRPr="00494B77">
        <w:rPr>
          <w:szCs w:val="24"/>
        </w:rPr>
        <w:t xml:space="preserve">Správce </w:t>
      </w:r>
      <w:r w:rsidR="00494B77">
        <w:rPr>
          <w:szCs w:val="24"/>
        </w:rPr>
        <w:t>během trvání této S</w:t>
      </w:r>
      <w:r w:rsidRPr="00494B77">
        <w:rPr>
          <w:szCs w:val="24"/>
        </w:rPr>
        <w:t>mlouvy bez souhlasu zákazníka neukončí ani nesníží rozsah této své pojistné smlouvy. Správce odpovídá za dodržení svých pojistných podmínek a platnosti a účinnosti své pojistn</w:t>
      </w:r>
      <w:r w:rsidR="00494B77">
        <w:rPr>
          <w:szCs w:val="24"/>
        </w:rPr>
        <w:t>é smlouvy po celou dobu trvání S</w:t>
      </w:r>
      <w:r w:rsidRPr="00494B77">
        <w:rPr>
          <w:szCs w:val="24"/>
        </w:rPr>
        <w:t>mlouvy (platnost a účinnost pojistné smlouvy je Správce povinen Objednateli každoročně prokázat). V případě snížení rozsahu pojistného krytí dle pojistné smlouvy, je Objednatel</w:t>
      </w:r>
      <w:r w:rsidR="00494B77">
        <w:rPr>
          <w:szCs w:val="24"/>
        </w:rPr>
        <w:t xml:space="preserve"> oprávněn od S</w:t>
      </w:r>
      <w:r w:rsidRPr="00494B77">
        <w:rPr>
          <w:szCs w:val="24"/>
        </w:rPr>
        <w:t>mlouvy odstoupit.</w:t>
      </w:r>
    </w:p>
    <w:p w:rsidR="0041715F" w:rsidRPr="00494B77" w:rsidRDefault="0041715F" w:rsidP="0041715F">
      <w:pPr>
        <w:pStyle w:val="Zkladntextodsazen"/>
        <w:ind w:left="11"/>
        <w:jc w:val="both"/>
        <w:rPr>
          <w:szCs w:val="24"/>
        </w:rPr>
      </w:pPr>
    </w:p>
    <w:p w:rsidR="0041715F" w:rsidRPr="00494B77" w:rsidRDefault="0041715F" w:rsidP="0041715F">
      <w:pPr>
        <w:widowControl w:val="0"/>
        <w:overflowPunct/>
        <w:jc w:val="both"/>
        <w:textAlignment w:val="auto"/>
        <w:rPr>
          <w:szCs w:val="24"/>
        </w:rPr>
      </w:pPr>
      <w:r w:rsidRPr="00494B77">
        <w:rPr>
          <w:szCs w:val="24"/>
        </w:rPr>
        <w:t>Správce prohlašuje, že splňuje veškeré předpoklady</w:t>
      </w:r>
      <w:r w:rsidR="00494B77">
        <w:rPr>
          <w:szCs w:val="24"/>
        </w:rPr>
        <w:t xml:space="preserve"> k plnění předmětu této S</w:t>
      </w:r>
      <w:r w:rsidRPr="00494B77">
        <w:rPr>
          <w:szCs w:val="24"/>
        </w:rPr>
        <w:t>mlouvy a má k tomu dostatečné věcné a personální zajištění a disponuje příslušnými certifikáty a oprávněními. Správce se zavazuje, že bude splňovat tyto požad</w:t>
      </w:r>
      <w:r w:rsidR="00494B77">
        <w:rPr>
          <w:szCs w:val="24"/>
        </w:rPr>
        <w:t>avky po celou dobu trvání této S</w:t>
      </w:r>
      <w:r w:rsidRPr="00494B77">
        <w:rPr>
          <w:szCs w:val="24"/>
        </w:rPr>
        <w:t xml:space="preserve">mlouvy. </w:t>
      </w:r>
    </w:p>
    <w:p w:rsidR="0041715F" w:rsidRPr="00494B77" w:rsidRDefault="0041715F" w:rsidP="0041715F">
      <w:pPr>
        <w:ind w:left="709"/>
        <w:jc w:val="both"/>
        <w:rPr>
          <w:szCs w:val="24"/>
        </w:rPr>
      </w:pPr>
    </w:p>
    <w:p w:rsidR="0041715F" w:rsidRPr="00494B77" w:rsidRDefault="0041715F" w:rsidP="0041715F">
      <w:pPr>
        <w:pStyle w:val="Nadpis1"/>
        <w:tabs>
          <w:tab w:val="clear" w:pos="1980"/>
        </w:tabs>
        <w:overflowPunct/>
        <w:autoSpaceDE/>
        <w:autoSpaceDN/>
        <w:adjustRightInd/>
        <w:contextualSpacing/>
        <w:textAlignment w:val="auto"/>
        <w:rPr>
          <w:b w:val="0"/>
          <w:sz w:val="24"/>
          <w:szCs w:val="24"/>
        </w:rPr>
      </w:pPr>
      <w:r w:rsidRPr="00494B77">
        <w:rPr>
          <w:b w:val="0"/>
          <w:sz w:val="24"/>
          <w:szCs w:val="24"/>
        </w:rPr>
        <w:lastRenderedPageBreak/>
        <w:t>V případech neočekávaných událostí (vyšší moc), které mohou mít za následek zpoždění převzetí nebo odevzdání zásilek hotovosti nebo cenností, jsou smluvní strany povinné bezodkladně informovat druhou smluvní stranu o důvodech a vykonat všechna potřebná opatření k eliminaci následků těchto událostí.</w:t>
      </w:r>
    </w:p>
    <w:p w:rsidR="0041715F" w:rsidRPr="00494B77" w:rsidRDefault="0041715F" w:rsidP="0041715F">
      <w:pPr>
        <w:pStyle w:val="Nadpis1"/>
        <w:tabs>
          <w:tab w:val="clear" w:pos="1980"/>
        </w:tabs>
        <w:overflowPunct/>
        <w:autoSpaceDE/>
        <w:autoSpaceDN/>
        <w:adjustRightInd/>
        <w:ind w:left="709" w:hanging="709"/>
        <w:contextualSpacing/>
        <w:textAlignment w:val="auto"/>
        <w:rPr>
          <w:sz w:val="24"/>
          <w:szCs w:val="24"/>
        </w:rPr>
      </w:pPr>
    </w:p>
    <w:p w:rsidR="0041715F" w:rsidRPr="00494B77" w:rsidRDefault="0041715F" w:rsidP="0041715F">
      <w:pPr>
        <w:pStyle w:val="Odstavecseseznamem"/>
        <w:ind w:left="705" w:hanging="705"/>
        <w:jc w:val="both"/>
        <w:rPr>
          <w:sz w:val="24"/>
          <w:szCs w:val="24"/>
        </w:rPr>
      </w:pPr>
    </w:p>
    <w:p w:rsidR="0041715F" w:rsidRPr="00494B77" w:rsidRDefault="0041715F" w:rsidP="0041715F">
      <w:pPr>
        <w:widowControl w:val="0"/>
        <w:overflowPunct/>
        <w:jc w:val="both"/>
        <w:textAlignment w:val="auto"/>
        <w:rPr>
          <w:szCs w:val="24"/>
        </w:rPr>
      </w:pPr>
      <w:r w:rsidRPr="00494B77">
        <w:rPr>
          <w:szCs w:val="24"/>
        </w:rPr>
        <w:t xml:space="preserve">Jakékoliv zjištěné nepravidelnosti při poskytovaní služeb a vznik </w:t>
      </w:r>
      <w:proofErr w:type="spellStart"/>
      <w:r w:rsidRPr="00494B77">
        <w:rPr>
          <w:szCs w:val="24"/>
        </w:rPr>
        <w:t>škodních</w:t>
      </w:r>
      <w:proofErr w:type="spellEnd"/>
      <w:r w:rsidRPr="00494B77">
        <w:rPr>
          <w:szCs w:val="24"/>
        </w:rPr>
        <w:t xml:space="preserve"> událostí je Správce </w:t>
      </w:r>
      <w:r w:rsidR="001911C6" w:rsidRPr="00494B77">
        <w:rPr>
          <w:szCs w:val="24"/>
        </w:rPr>
        <w:t>povinen</w:t>
      </w:r>
      <w:r w:rsidRPr="00494B77">
        <w:rPr>
          <w:szCs w:val="24"/>
        </w:rPr>
        <w:t xml:space="preserve"> bezodkladně nahlásit Objednateli telefonicky s následným písemným potvrzením (doporučeným dopisem nebo e-mailem </w:t>
      </w:r>
      <w:r w:rsidR="00230C9C" w:rsidRPr="00494B77">
        <w:rPr>
          <w:szCs w:val="24"/>
        </w:rPr>
        <w:t>kontaktní osobě Objednatele).</w:t>
      </w:r>
    </w:p>
    <w:p w:rsidR="0041715F" w:rsidRPr="00494B77" w:rsidRDefault="0041715F" w:rsidP="0041715F">
      <w:pPr>
        <w:tabs>
          <w:tab w:val="num" w:pos="709"/>
        </w:tabs>
        <w:ind w:left="709" w:hanging="720"/>
        <w:jc w:val="both"/>
        <w:rPr>
          <w:szCs w:val="24"/>
        </w:rPr>
      </w:pPr>
    </w:p>
    <w:p w:rsidR="0041715F" w:rsidRPr="00494B77" w:rsidRDefault="00C13AD5" w:rsidP="00C13AD5">
      <w:pPr>
        <w:pStyle w:val="Odstavecseseznamem"/>
        <w:ind w:left="0"/>
        <w:jc w:val="both"/>
        <w:rPr>
          <w:sz w:val="24"/>
          <w:szCs w:val="24"/>
        </w:rPr>
      </w:pPr>
      <w:r w:rsidRPr="00494B77">
        <w:rPr>
          <w:sz w:val="24"/>
          <w:szCs w:val="24"/>
        </w:rPr>
        <w:t xml:space="preserve">Správce </w:t>
      </w:r>
      <w:r w:rsidR="0041715F" w:rsidRPr="00494B77">
        <w:rPr>
          <w:sz w:val="24"/>
          <w:szCs w:val="24"/>
        </w:rPr>
        <w:t>je povinen poskytnout náhradu škody, i když bude přesaho</w:t>
      </w:r>
      <w:r w:rsidRPr="00494B77">
        <w:rPr>
          <w:sz w:val="24"/>
          <w:szCs w:val="24"/>
        </w:rPr>
        <w:t>vat limit pojistného krytí. Správce</w:t>
      </w:r>
      <w:r w:rsidR="0041715F" w:rsidRPr="00494B77">
        <w:rPr>
          <w:sz w:val="24"/>
          <w:szCs w:val="24"/>
        </w:rPr>
        <w:t xml:space="preserve"> je povinen zahájit šetření bez zbytečných odkladů a poskytnout všechnu potřebnou součinnost příslušným orgánům účastných na zjišťování relevantních skutečností.</w:t>
      </w:r>
    </w:p>
    <w:p w:rsidR="0041715F" w:rsidRPr="00494B77" w:rsidRDefault="0041715F" w:rsidP="0041715F">
      <w:pPr>
        <w:jc w:val="both"/>
        <w:rPr>
          <w:szCs w:val="24"/>
        </w:rPr>
      </w:pPr>
    </w:p>
    <w:p w:rsidR="0041715F" w:rsidRPr="00494B77" w:rsidRDefault="00C13AD5" w:rsidP="00C13AD5">
      <w:pPr>
        <w:jc w:val="both"/>
        <w:rPr>
          <w:szCs w:val="24"/>
        </w:rPr>
      </w:pPr>
      <w:r w:rsidRPr="00494B77">
        <w:rPr>
          <w:szCs w:val="24"/>
        </w:rPr>
        <w:t xml:space="preserve">Správce </w:t>
      </w:r>
      <w:r w:rsidR="0041715F" w:rsidRPr="00494B77">
        <w:rPr>
          <w:szCs w:val="24"/>
        </w:rPr>
        <w:t xml:space="preserve">se zavazuje vybírat finanční hotovost z turniketů veřejných WC </w:t>
      </w:r>
      <w:r w:rsidR="00230C9C" w:rsidRPr="00494B77">
        <w:rPr>
          <w:szCs w:val="24"/>
        </w:rPr>
        <w:t>dle provozní potřeby (naplnění zásobníků), minimálně však 3x týdně a dále i</w:t>
      </w:r>
      <w:r w:rsidR="0041715F" w:rsidRPr="00494B77">
        <w:rPr>
          <w:szCs w:val="24"/>
        </w:rPr>
        <w:t xml:space="preserve"> na vyžádání </w:t>
      </w:r>
      <w:r w:rsidRPr="00494B77">
        <w:rPr>
          <w:szCs w:val="24"/>
        </w:rPr>
        <w:t>Objednatele</w:t>
      </w:r>
      <w:r w:rsidR="0041715F" w:rsidRPr="00494B77">
        <w:rPr>
          <w:szCs w:val="24"/>
        </w:rPr>
        <w:t xml:space="preserve"> prostřednictvím kontaktní osoby (telefonicky či e-mailem</w:t>
      </w:r>
      <w:r w:rsidR="00230C9C" w:rsidRPr="00494B77">
        <w:rPr>
          <w:szCs w:val="24"/>
        </w:rPr>
        <w:t>).</w:t>
      </w:r>
      <w:r w:rsidR="0041715F" w:rsidRPr="00494B77">
        <w:rPr>
          <w:szCs w:val="24"/>
        </w:rPr>
        <w:t xml:space="preserve"> </w:t>
      </w:r>
    </w:p>
    <w:p w:rsidR="0041715F" w:rsidRPr="00494B77" w:rsidRDefault="0041715F" w:rsidP="0041715F">
      <w:pPr>
        <w:ind w:left="705" w:hanging="705"/>
        <w:jc w:val="both"/>
        <w:rPr>
          <w:szCs w:val="24"/>
        </w:rPr>
      </w:pPr>
    </w:p>
    <w:p w:rsidR="0041715F" w:rsidRPr="00494B77" w:rsidRDefault="00C13AD5" w:rsidP="00C13AD5">
      <w:pPr>
        <w:jc w:val="both"/>
        <w:rPr>
          <w:szCs w:val="24"/>
        </w:rPr>
      </w:pPr>
      <w:r w:rsidRPr="00494B77">
        <w:rPr>
          <w:szCs w:val="24"/>
        </w:rPr>
        <w:t>Správce</w:t>
      </w:r>
      <w:r w:rsidR="0041715F" w:rsidRPr="00494B77">
        <w:rPr>
          <w:szCs w:val="24"/>
        </w:rPr>
        <w:t xml:space="preserve"> provede systémové uzavření a to formou </w:t>
      </w:r>
      <w:r w:rsidRPr="00494B77">
        <w:rPr>
          <w:szCs w:val="24"/>
        </w:rPr>
        <w:t>Objednatelem</w:t>
      </w:r>
      <w:r w:rsidR="0041715F" w:rsidRPr="00494B77">
        <w:rPr>
          <w:szCs w:val="24"/>
        </w:rPr>
        <w:t xml:space="preserve"> předaného příslušenství k turniketu „uzávěrková karta“, kdy jejím použitím dojde k vyjetí uzávěrkového dokladu z turniketu a odeslání dat do systému </w:t>
      </w:r>
      <w:r w:rsidRPr="00494B77">
        <w:rPr>
          <w:szCs w:val="24"/>
        </w:rPr>
        <w:t>Objednatele</w:t>
      </w:r>
      <w:r w:rsidR="0041715F" w:rsidRPr="00494B77">
        <w:rPr>
          <w:szCs w:val="24"/>
        </w:rPr>
        <w:t xml:space="preserve"> o vybrané hotovosti z jednotlivých turniketů; v tuto chvíli elektronický systém v turniketu začíná počítat nová data s uložením předchozího období a stavu mincovníku. Toto </w:t>
      </w:r>
      <w:r w:rsidRPr="00494B77">
        <w:rPr>
          <w:szCs w:val="24"/>
        </w:rPr>
        <w:t>Správce</w:t>
      </w:r>
      <w:r w:rsidR="0041715F" w:rsidRPr="00494B77">
        <w:rPr>
          <w:szCs w:val="24"/>
        </w:rPr>
        <w:t xml:space="preserve"> provede na každém turniketu vždy v pondělí současně s ukončením výběru finanční hotovosti a následně bezprostředně po skončení přepočítávání hotovosti tentýž den odveze finanční hotovost do banky. </w:t>
      </w:r>
      <w:r w:rsidR="00230C9C" w:rsidRPr="00494B77">
        <w:rPr>
          <w:szCs w:val="24"/>
        </w:rPr>
        <w:t>Finanční hotovost ze svého účtu Správce převede na účty Objednatele bezodkladně.</w:t>
      </w:r>
    </w:p>
    <w:p w:rsidR="00230C9C" w:rsidRPr="00494B77" w:rsidRDefault="00230C9C" w:rsidP="00C13AD5">
      <w:pPr>
        <w:jc w:val="both"/>
        <w:rPr>
          <w:szCs w:val="24"/>
        </w:rPr>
      </w:pPr>
    </w:p>
    <w:p w:rsidR="00230C9C" w:rsidRPr="00494B77" w:rsidRDefault="00230C9C" w:rsidP="00C13AD5">
      <w:pPr>
        <w:jc w:val="both"/>
        <w:rPr>
          <w:szCs w:val="24"/>
        </w:rPr>
      </w:pPr>
      <w:proofErr w:type="spellStart"/>
      <w:proofErr w:type="gramStart"/>
      <w:r w:rsidRPr="00494B77">
        <w:rPr>
          <w:szCs w:val="24"/>
        </w:rPr>
        <w:t>Č.ú</w:t>
      </w:r>
      <w:proofErr w:type="spellEnd"/>
      <w:r w:rsidRPr="00494B77">
        <w:rPr>
          <w:szCs w:val="24"/>
        </w:rPr>
        <w:t>.</w:t>
      </w:r>
      <w:proofErr w:type="gramEnd"/>
      <w:r w:rsidRPr="00494B77">
        <w:rPr>
          <w:szCs w:val="24"/>
        </w:rPr>
        <w:t xml:space="preserve"> Objednatele pro převod finanční hotovosti CZK ………</w:t>
      </w:r>
    </w:p>
    <w:p w:rsidR="00230C9C" w:rsidRPr="00494B77" w:rsidRDefault="00230C9C" w:rsidP="00C13AD5">
      <w:pPr>
        <w:jc w:val="both"/>
        <w:rPr>
          <w:szCs w:val="24"/>
        </w:rPr>
      </w:pPr>
      <w:proofErr w:type="spellStart"/>
      <w:proofErr w:type="gramStart"/>
      <w:r w:rsidRPr="00494B77">
        <w:rPr>
          <w:szCs w:val="24"/>
        </w:rPr>
        <w:t>Č.ú</w:t>
      </w:r>
      <w:proofErr w:type="spellEnd"/>
      <w:r w:rsidRPr="00494B77">
        <w:rPr>
          <w:szCs w:val="24"/>
        </w:rPr>
        <w:t>.</w:t>
      </w:r>
      <w:proofErr w:type="gramEnd"/>
      <w:r w:rsidRPr="00494B77">
        <w:rPr>
          <w:szCs w:val="24"/>
        </w:rPr>
        <w:t xml:space="preserve"> Objednatele pro převod finanční hotovosti EUR ……….</w:t>
      </w:r>
    </w:p>
    <w:p w:rsidR="0041715F" w:rsidRPr="00494B77" w:rsidRDefault="0041715F" w:rsidP="0041715F">
      <w:pPr>
        <w:ind w:left="705" w:hanging="705"/>
        <w:jc w:val="both"/>
        <w:rPr>
          <w:szCs w:val="24"/>
        </w:rPr>
      </w:pPr>
    </w:p>
    <w:p w:rsidR="0041715F" w:rsidRPr="00494B77" w:rsidRDefault="0041715F" w:rsidP="00C13AD5">
      <w:pPr>
        <w:jc w:val="both"/>
        <w:rPr>
          <w:szCs w:val="24"/>
        </w:rPr>
      </w:pPr>
      <w:r w:rsidRPr="00494B77">
        <w:rPr>
          <w:szCs w:val="24"/>
        </w:rPr>
        <w:t xml:space="preserve">Po systémovém uzavření turniketů je </w:t>
      </w:r>
      <w:r w:rsidR="00C13AD5" w:rsidRPr="00494B77">
        <w:rPr>
          <w:szCs w:val="24"/>
        </w:rPr>
        <w:t>Správce</w:t>
      </w:r>
      <w:r w:rsidRPr="00494B77">
        <w:rPr>
          <w:szCs w:val="24"/>
        </w:rPr>
        <w:t xml:space="preserve"> povinen poskytnout </w:t>
      </w:r>
      <w:r w:rsidR="00C13AD5" w:rsidRPr="00494B77">
        <w:rPr>
          <w:szCs w:val="24"/>
        </w:rPr>
        <w:t>Objednateli</w:t>
      </w:r>
      <w:r w:rsidRPr="00494B77">
        <w:rPr>
          <w:szCs w:val="24"/>
        </w:rPr>
        <w:t xml:space="preserve"> veškerou dokumentaci ze systémového uzavření turniketů, dílčích výběrů finanční hotovosti s uvedením času výběru</w:t>
      </w:r>
      <w:r w:rsidR="00230C9C" w:rsidRPr="00494B77">
        <w:rPr>
          <w:szCs w:val="24"/>
        </w:rPr>
        <w:t xml:space="preserve"> a</w:t>
      </w:r>
      <w:r w:rsidRPr="00494B77">
        <w:rPr>
          <w:szCs w:val="24"/>
        </w:rPr>
        <w:t xml:space="preserve"> protokol z přepočítání finanční hotovosti</w:t>
      </w:r>
      <w:r w:rsidR="00230C9C" w:rsidRPr="00494B77">
        <w:rPr>
          <w:szCs w:val="24"/>
        </w:rPr>
        <w:t>,</w:t>
      </w:r>
      <w:r w:rsidRPr="00494B77">
        <w:rPr>
          <w:szCs w:val="24"/>
        </w:rPr>
        <w:t xml:space="preserve"> originály listinných dokumentů pak budou předány kontaktní osobě </w:t>
      </w:r>
      <w:r w:rsidR="00C13AD5" w:rsidRPr="00494B77">
        <w:rPr>
          <w:szCs w:val="24"/>
        </w:rPr>
        <w:t>Objednatele</w:t>
      </w:r>
      <w:r w:rsidRPr="00494B77">
        <w:rPr>
          <w:szCs w:val="24"/>
        </w:rPr>
        <w:t xml:space="preserve"> ve lhůtě 3 pracovních dní od jejich vystavení. </w:t>
      </w:r>
      <w:r w:rsidR="00C13AD5" w:rsidRPr="00494B77">
        <w:rPr>
          <w:szCs w:val="24"/>
        </w:rPr>
        <w:t>Správce</w:t>
      </w:r>
      <w:r w:rsidRPr="00494B77">
        <w:rPr>
          <w:szCs w:val="24"/>
        </w:rPr>
        <w:t xml:space="preserve"> je povinen zajistit potřebný počet originálů těchto dokumentů tak, aby vždy mohl jeden originál předat </w:t>
      </w:r>
      <w:r w:rsidR="00C13AD5" w:rsidRPr="00494B77">
        <w:rPr>
          <w:szCs w:val="24"/>
        </w:rPr>
        <w:t>Objednateli</w:t>
      </w:r>
      <w:r w:rsidRPr="00494B77">
        <w:rPr>
          <w:szCs w:val="24"/>
        </w:rPr>
        <w:t xml:space="preserve">. </w:t>
      </w:r>
    </w:p>
    <w:p w:rsidR="0041715F" w:rsidRPr="00494B77" w:rsidRDefault="0041715F" w:rsidP="0041715F">
      <w:pPr>
        <w:ind w:left="705" w:hanging="705"/>
        <w:jc w:val="both"/>
        <w:rPr>
          <w:szCs w:val="24"/>
        </w:rPr>
      </w:pPr>
    </w:p>
    <w:p w:rsidR="0041715F" w:rsidRPr="00494B77" w:rsidRDefault="00C13AD5" w:rsidP="00C13AD5">
      <w:pPr>
        <w:jc w:val="both"/>
        <w:rPr>
          <w:szCs w:val="24"/>
        </w:rPr>
      </w:pPr>
      <w:r w:rsidRPr="00494B77">
        <w:rPr>
          <w:szCs w:val="24"/>
        </w:rPr>
        <w:t>Správce</w:t>
      </w:r>
      <w:r w:rsidR="0041715F" w:rsidRPr="00494B77">
        <w:rPr>
          <w:szCs w:val="24"/>
        </w:rPr>
        <w:t xml:space="preserve"> veškerou vybranou finanční hotovost uschovává až do svozu do banky na své náklady a na své riziko. </w:t>
      </w:r>
      <w:r w:rsidRPr="00494B77">
        <w:rPr>
          <w:szCs w:val="24"/>
        </w:rPr>
        <w:t>Správce</w:t>
      </w:r>
      <w:r w:rsidR="0041715F" w:rsidRPr="00494B77">
        <w:rPr>
          <w:szCs w:val="24"/>
        </w:rPr>
        <w:t xml:space="preserve"> ručí za finanční hotovost od doby výběru této hotovosti z jednotlivých turniketů až do předání a přepočítání hotovosti pověřenými zaměstnanci banky a vydání příslušného dokumentu osvědčujícího správnost výše předané finanční hotovosti bance.</w:t>
      </w:r>
    </w:p>
    <w:p w:rsidR="0041715F" w:rsidRPr="00494B77" w:rsidRDefault="0041715F" w:rsidP="0041715F">
      <w:pPr>
        <w:ind w:left="705" w:hanging="705"/>
        <w:jc w:val="both"/>
        <w:rPr>
          <w:szCs w:val="24"/>
        </w:rPr>
      </w:pPr>
    </w:p>
    <w:p w:rsidR="0041715F" w:rsidRPr="00494B77" w:rsidRDefault="00C13AD5" w:rsidP="00C13AD5">
      <w:pPr>
        <w:jc w:val="both"/>
        <w:rPr>
          <w:szCs w:val="24"/>
        </w:rPr>
      </w:pPr>
      <w:r w:rsidRPr="00494B77">
        <w:rPr>
          <w:szCs w:val="24"/>
        </w:rPr>
        <w:t xml:space="preserve">Správce </w:t>
      </w:r>
      <w:r w:rsidR="0041715F" w:rsidRPr="00494B77">
        <w:rPr>
          <w:szCs w:val="24"/>
        </w:rPr>
        <w:t xml:space="preserve">je povinen zajistit nepřetržitý přístup do schránek s hotovostí turniketů a provádět drobné servisní práce týkající se zejména zajištění průchodnosti jednotlivých vstupů hotovosti na turniketu (např. zneprůchodnění vstupu pro bankovky kreditní kartou apod.). V případě zablokování průchodnosti mincovníku je </w:t>
      </w:r>
      <w:r w:rsidRPr="00494B77">
        <w:rPr>
          <w:szCs w:val="24"/>
        </w:rPr>
        <w:t>Správce</w:t>
      </w:r>
      <w:r w:rsidR="0041715F" w:rsidRPr="00494B77">
        <w:rPr>
          <w:szCs w:val="24"/>
        </w:rPr>
        <w:t xml:space="preserve"> povinen na výzvu </w:t>
      </w:r>
      <w:r w:rsidRPr="00494B77">
        <w:rPr>
          <w:szCs w:val="24"/>
        </w:rPr>
        <w:t>Objednatele</w:t>
      </w:r>
      <w:r w:rsidR="0041715F" w:rsidRPr="00494B77">
        <w:rPr>
          <w:szCs w:val="24"/>
        </w:rPr>
        <w:t xml:space="preserve"> zajistit zprovoznění mincovníku do 1 hodiny od takového nahlášení kontaktní osobě </w:t>
      </w:r>
      <w:r w:rsidRPr="00494B77">
        <w:rPr>
          <w:szCs w:val="24"/>
        </w:rPr>
        <w:t>Správce</w:t>
      </w:r>
      <w:r w:rsidR="0041715F" w:rsidRPr="00494B77">
        <w:rPr>
          <w:szCs w:val="24"/>
        </w:rPr>
        <w:t xml:space="preserve">. </w:t>
      </w:r>
      <w:r w:rsidRPr="00494B77">
        <w:rPr>
          <w:szCs w:val="24"/>
        </w:rPr>
        <w:t xml:space="preserve">Tato činnost je součástí paušální platby za Zpracování finanční hotovosti. </w:t>
      </w:r>
      <w:r w:rsidR="00DD551A" w:rsidRPr="00494B77">
        <w:rPr>
          <w:szCs w:val="24"/>
        </w:rPr>
        <w:t>S</w:t>
      </w:r>
      <w:r w:rsidRPr="00494B77">
        <w:rPr>
          <w:szCs w:val="24"/>
        </w:rPr>
        <w:t>právce</w:t>
      </w:r>
      <w:r w:rsidR="0041715F" w:rsidRPr="00494B77">
        <w:rPr>
          <w:szCs w:val="24"/>
        </w:rPr>
        <w:t xml:space="preserve"> nesmí žádným způsobem zasahovat do zařízení ani do jeho software.</w:t>
      </w:r>
      <w:r w:rsidR="009B5785">
        <w:rPr>
          <w:szCs w:val="24"/>
        </w:rPr>
        <w:t xml:space="preserve"> Správce je dále povinen 1x týdně provádět čištění mechanismu mincovníku turniketů a 1x měsíčně provádět čištění čidel turniketů</w:t>
      </w:r>
      <w:r w:rsidR="008478CD">
        <w:rPr>
          <w:szCs w:val="24"/>
        </w:rPr>
        <w:t xml:space="preserve"> dle návodu výrobce</w:t>
      </w:r>
      <w:r w:rsidR="009B5785">
        <w:rPr>
          <w:szCs w:val="24"/>
        </w:rPr>
        <w:t>.</w:t>
      </w:r>
    </w:p>
    <w:p w:rsidR="0041715F" w:rsidRPr="00494B77" w:rsidRDefault="0041715F" w:rsidP="0041715F">
      <w:pPr>
        <w:ind w:left="705" w:hanging="705"/>
        <w:jc w:val="both"/>
        <w:rPr>
          <w:szCs w:val="24"/>
        </w:rPr>
      </w:pPr>
    </w:p>
    <w:p w:rsidR="0041715F" w:rsidRPr="00494B77" w:rsidRDefault="00C13AD5" w:rsidP="00C13AD5">
      <w:pPr>
        <w:jc w:val="both"/>
        <w:rPr>
          <w:szCs w:val="24"/>
        </w:rPr>
      </w:pPr>
      <w:r w:rsidRPr="00494B77">
        <w:rPr>
          <w:szCs w:val="24"/>
        </w:rPr>
        <w:t xml:space="preserve">Správce </w:t>
      </w:r>
      <w:r w:rsidR="0041715F" w:rsidRPr="00494B77">
        <w:rPr>
          <w:szCs w:val="24"/>
        </w:rPr>
        <w:t xml:space="preserve">se zavazuje provádět přepočítání finanční hotovosti </w:t>
      </w:r>
      <w:r w:rsidR="00230C9C" w:rsidRPr="00494B77">
        <w:rPr>
          <w:szCs w:val="24"/>
        </w:rPr>
        <w:t xml:space="preserve">v místě, které předem Objednateli oznámí. </w:t>
      </w:r>
      <w:r w:rsidRPr="00494B77">
        <w:rPr>
          <w:szCs w:val="24"/>
        </w:rPr>
        <w:t>Objednatel</w:t>
      </w:r>
      <w:r w:rsidR="0041715F" w:rsidRPr="00494B77">
        <w:rPr>
          <w:szCs w:val="24"/>
        </w:rPr>
        <w:t xml:space="preserve"> nebo jím pověřená osoba je oprávněn být tomuto přepočítání </w:t>
      </w:r>
      <w:r w:rsidR="0041715F" w:rsidRPr="00494B77">
        <w:rPr>
          <w:szCs w:val="24"/>
        </w:rPr>
        <w:lastRenderedPageBreak/>
        <w:t xml:space="preserve">přítomen a to i bez předchozího oznámení </w:t>
      </w:r>
      <w:r w:rsidR="00230C9C" w:rsidRPr="00494B77">
        <w:rPr>
          <w:szCs w:val="24"/>
        </w:rPr>
        <w:t>S</w:t>
      </w:r>
      <w:r w:rsidRPr="00494B77">
        <w:rPr>
          <w:szCs w:val="24"/>
        </w:rPr>
        <w:t>právci</w:t>
      </w:r>
      <w:r w:rsidR="0041715F" w:rsidRPr="00494B77">
        <w:rPr>
          <w:szCs w:val="24"/>
        </w:rPr>
        <w:t xml:space="preserve">. Přeprava do místa přepočítání finanční hotovosti je plně na náklady a riziko </w:t>
      </w:r>
      <w:r w:rsidRPr="00494B77">
        <w:rPr>
          <w:szCs w:val="24"/>
        </w:rPr>
        <w:t>Správce</w:t>
      </w:r>
      <w:r w:rsidR="0041715F" w:rsidRPr="00494B77">
        <w:rPr>
          <w:szCs w:val="24"/>
        </w:rPr>
        <w:t>.</w:t>
      </w:r>
    </w:p>
    <w:p w:rsidR="0041715F" w:rsidRPr="00494B77" w:rsidRDefault="0041715F" w:rsidP="0041715F">
      <w:pPr>
        <w:ind w:left="705" w:hanging="705"/>
        <w:jc w:val="both"/>
        <w:rPr>
          <w:szCs w:val="24"/>
        </w:rPr>
      </w:pPr>
    </w:p>
    <w:p w:rsidR="0041715F" w:rsidRPr="00494B77" w:rsidRDefault="0041715F" w:rsidP="00C13AD5">
      <w:pPr>
        <w:jc w:val="both"/>
        <w:rPr>
          <w:szCs w:val="24"/>
        </w:rPr>
      </w:pPr>
      <w:r w:rsidRPr="00494B77">
        <w:rPr>
          <w:szCs w:val="24"/>
        </w:rPr>
        <w:t xml:space="preserve">Počty mincí a bankovek jednotlivých měn musí odpovídat údajům z elektronického systému turniketů. Pro vyloučení pochybností </w:t>
      </w:r>
      <w:r w:rsidR="00C13AD5" w:rsidRPr="00494B77">
        <w:rPr>
          <w:szCs w:val="24"/>
        </w:rPr>
        <w:t>Objednatel</w:t>
      </w:r>
      <w:r w:rsidRPr="00494B77">
        <w:rPr>
          <w:szCs w:val="24"/>
        </w:rPr>
        <w:t xml:space="preserve"> uvádí, že neakceptuje stav, kdy bude souhlasit výše přepočtené hotovosti na základě směnného kurzu EUR a CZK, ale musí souhlasit stav počtu mincí a bankovek jednotlivých měn.</w:t>
      </w:r>
    </w:p>
    <w:p w:rsidR="0041715F" w:rsidRPr="00494B77" w:rsidRDefault="0041715F" w:rsidP="0041715F">
      <w:pPr>
        <w:jc w:val="both"/>
        <w:rPr>
          <w:szCs w:val="24"/>
        </w:rPr>
      </w:pPr>
    </w:p>
    <w:p w:rsidR="0041715F" w:rsidRPr="00494B77" w:rsidRDefault="0041715F" w:rsidP="00C13AD5">
      <w:pPr>
        <w:jc w:val="both"/>
        <w:rPr>
          <w:szCs w:val="24"/>
        </w:rPr>
      </w:pPr>
      <w:r w:rsidRPr="00494B77">
        <w:rPr>
          <w:szCs w:val="24"/>
        </w:rPr>
        <w:t xml:space="preserve">Zpracování </w:t>
      </w:r>
      <w:r w:rsidR="00C13AD5" w:rsidRPr="00494B77">
        <w:rPr>
          <w:szCs w:val="24"/>
        </w:rPr>
        <w:t xml:space="preserve">finanční </w:t>
      </w:r>
      <w:r w:rsidRPr="00494B77">
        <w:rPr>
          <w:szCs w:val="24"/>
        </w:rPr>
        <w:t xml:space="preserve">hotovosti je prováděno podle zásad stanovených zákonem č. 136/2011 Sb., o oběhu bankovek a mincí a o změně zákona č. 6/1993 Sb., o České národní bance, ve znění pozdějších předpisů a prováděcími právními předpisy. Turnikety </w:t>
      </w:r>
      <w:r w:rsidR="00C13AD5" w:rsidRPr="00494B77">
        <w:rPr>
          <w:szCs w:val="24"/>
        </w:rPr>
        <w:t>Objednatele</w:t>
      </w:r>
      <w:r w:rsidRPr="00494B77">
        <w:rPr>
          <w:szCs w:val="24"/>
        </w:rPr>
        <w:t xml:space="preserve"> přijímají ke zpracování české koruny a eura (bankovky a mince). Mince a bankovky EUR budou zpracovávány podle stejných zásad a postupů jako české koruny.</w:t>
      </w:r>
    </w:p>
    <w:p w:rsidR="0041715F" w:rsidRPr="00494B77" w:rsidRDefault="0041715F" w:rsidP="0041715F">
      <w:pPr>
        <w:ind w:left="705" w:hanging="705"/>
        <w:jc w:val="both"/>
        <w:rPr>
          <w:szCs w:val="24"/>
        </w:rPr>
      </w:pPr>
    </w:p>
    <w:p w:rsidR="0041715F" w:rsidRPr="00494B77" w:rsidRDefault="0041715F" w:rsidP="00C13AD5">
      <w:pPr>
        <w:jc w:val="both"/>
        <w:rPr>
          <w:szCs w:val="24"/>
        </w:rPr>
      </w:pPr>
      <w:r w:rsidRPr="00494B77">
        <w:rPr>
          <w:szCs w:val="24"/>
        </w:rPr>
        <w:t xml:space="preserve">O výsledcích zpracování hotovosti vyhotoví </w:t>
      </w:r>
      <w:r w:rsidR="00C13AD5" w:rsidRPr="00494B77">
        <w:rPr>
          <w:szCs w:val="24"/>
        </w:rPr>
        <w:t>Správce</w:t>
      </w:r>
      <w:r w:rsidRPr="00494B77">
        <w:rPr>
          <w:szCs w:val="24"/>
        </w:rPr>
        <w:t xml:space="preserve"> protokol o zpracování hotovosti pro </w:t>
      </w:r>
      <w:r w:rsidR="00C13AD5" w:rsidRPr="00494B77">
        <w:rPr>
          <w:szCs w:val="24"/>
        </w:rPr>
        <w:t xml:space="preserve">Objednatele </w:t>
      </w:r>
      <w:r w:rsidRPr="00494B77">
        <w:rPr>
          <w:szCs w:val="24"/>
        </w:rPr>
        <w:t>s uvedením údajů o výsledcích zpracování hotovosti.</w:t>
      </w:r>
    </w:p>
    <w:p w:rsidR="0041715F" w:rsidRPr="00494B77" w:rsidRDefault="0041715F" w:rsidP="0041715F">
      <w:pPr>
        <w:ind w:left="705" w:hanging="705"/>
        <w:jc w:val="both"/>
        <w:rPr>
          <w:szCs w:val="24"/>
        </w:rPr>
      </w:pPr>
    </w:p>
    <w:p w:rsidR="0041715F" w:rsidRPr="00494B77" w:rsidRDefault="0041715F" w:rsidP="00C13AD5">
      <w:pPr>
        <w:jc w:val="both"/>
        <w:rPr>
          <w:szCs w:val="24"/>
        </w:rPr>
      </w:pPr>
      <w:r w:rsidRPr="00494B77">
        <w:rPr>
          <w:szCs w:val="24"/>
        </w:rPr>
        <w:t xml:space="preserve">Zjistí-li </w:t>
      </w:r>
      <w:r w:rsidR="00C13AD5" w:rsidRPr="00494B77">
        <w:rPr>
          <w:szCs w:val="24"/>
        </w:rPr>
        <w:t>Správce</w:t>
      </w:r>
      <w:r w:rsidRPr="00494B77">
        <w:rPr>
          <w:szCs w:val="24"/>
        </w:rPr>
        <w:t xml:space="preserve"> při zpracování hotovosti neplatné, poškozené nebo neúplné (necelé) bankovky či mince, </w:t>
      </w:r>
      <w:r w:rsidR="001911C6" w:rsidRPr="00494B77">
        <w:rPr>
          <w:szCs w:val="24"/>
        </w:rPr>
        <w:t>uvede</w:t>
      </w:r>
      <w:r w:rsidRPr="00494B77">
        <w:rPr>
          <w:szCs w:val="24"/>
        </w:rPr>
        <w:t xml:space="preserve"> počet těchto bankovek a mincí v protokolu o zpracování hotovosti.</w:t>
      </w:r>
    </w:p>
    <w:p w:rsidR="0041715F" w:rsidRPr="00494B77" w:rsidRDefault="0041715F" w:rsidP="0041715F">
      <w:pPr>
        <w:ind w:left="705" w:hanging="705"/>
        <w:jc w:val="both"/>
        <w:rPr>
          <w:szCs w:val="24"/>
        </w:rPr>
      </w:pPr>
    </w:p>
    <w:p w:rsidR="002A4D8E" w:rsidRPr="00494B77" w:rsidRDefault="0041715F" w:rsidP="0041715F">
      <w:pPr>
        <w:jc w:val="both"/>
        <w:rPr>
          <w:szCs w:val="24"/>
        </w:rPr>
      </w:pPr>
      <w:r w:rsidRPr="00494B77">
        <w:rPr>
          <w:szCs w:val="24"/>
        </w:rPr>
        <w:t xml:space="preserve">V případě, že </w:t>
      </w:r>
      <w:r w:rsidR="001911C6" w:rsidRPr="00494B77">
        <w:rPr>
          <w:szCs w:val="24"/>
        </w:rPr>
        <w:t>Objednatel</w:t>
      </w:r>
      <w:r w:rsidRPr="00494B77">
        <w:rPr>
          <w:szCs w:val="24"/>
        </w:rPr>
        <w:t xml:space="preserve"> zjistí po pře</w:t>
      </w:r>
      <w:r w:rsidR="001911C6" w:rsidRPr="00494B77">
        <w:rPr>
          <w:szCs w:val="24"/>
        </w:rPr>
        <w:t>vedení</w:t>
      </w:r>
      <w:r w:rsidRPr="00494B77">
        <w:rPr>
          <w:szCs w:val="24"/>
        </w:rPr>
        <w:t xml:space="preserve"> finanční hotovosti </w:t>
      </w:r>
      <w:r w:rsidR="001911C6" w:rsidRPr="00494B77">
        <w:rPr>
          <w:szCs w:val="24"/>
        </w:rPr>
        <w:t xml:space="preserve">na svůj účet </w:t>
      </w:r>
      <w:r w:rsidRPr="00494B77">
        <w:rPr>
          <w:szCs w:val="24"/>
        </w:rPr>
        <w:t xml:space="preserve">rozdíl (schodek) mezi údaji uvedenými </w:t>
      </w:r>
      <w:r w:rsidR="00C13AD5" w:rsidRPr="00494B77">
        <w:rPr>
          <w:szCs w:val="24"/>
        </w:rPr>
        <w:t>Správcem</w:t>
      </w:r>
      <w:r w:rsidRPr="00494B77">
        <w:rPr>
          <w:szCs w:val="24"/>
        </w:rPr>
        <w:t xml:space="preserve"> a skutečným stavem</w:t>
      </w:r>
      <w:r w:rsidR="001911C6" w:rsidRPr="00494B77">
        <w:rPr>
          <w:szCs w:val="24"/>
        </w:rPr>
        <w:t xml:space="preserve"> dle výpisu z turniketů</w:t>
      </w:r>
      <w:r w:rsidRPr="00494B77">
        <w:rPr>
          <w:szCs w:val="24"/>
        </w:rPr>
        <w:t xml:space="preserve">, odpovídá za tento rozdíl (schodek) v plném rozsahu </w:t>
      </w:r>
      <w:r w:rsidR="00C13AD5" w:rsidRPr="00494B77">
        <w:rPr>
          <w:szCs w:val="24"/>
        </w:rPr>
        <w:t>Správce</w:t>
      </w:r>
      <w:r w:rsidRPr="00494B77">
        <w:rPr>
          <w:szCs w:val="24"/>
        </w:rPr>
        <w:t xml:space="preserve">. </w:t>
      </w:r>
      <w:r w:rsidR="00C13AD5" w:rsidRPr="00494B77">
        <w:rPr>
          <w:szCs w:val="24"/>
        </w:rPr>
        <w:t>Správce</w:t>
      </w:r>
      <w:r w:rsidRPr="00494B77">
        <w:rPr>
          <w:szCs w:val="24"/>
        </w:rPr>
        <w:t xml:space="preserve"> také odpovídá v plném rozsahu za rozdíl (schodek) vyšší než 0,2% mezi údaji ze systémového uzavření turniketů a údaji z protokolu o zpracování hotovosti. </w:t>
      </w:r>
      <w:r w:rsidR="00C13AD5" w:rsidRPr="00494B77">
        <w:rPr>
          <w:szCs w:val="24"/>
        </w:rPr>
        <w:t>Objednatel</w:t>
      </w:r>
      <w:r w:rsidRPr="00494B77">
        <w:rPr>
          <w:szCs w:val="24"/>
        </w:rPr>
        <w:t xml:space="preserve"> pro přesnost uvádí, že může vzniknout i kladný rozdíl mezi skutečně vybranou finanční hotovostí a elektronickým záznamem turniketů. Tento kladný rozdíl připadá </w:t>
      </w:r>
      <w:r w:rsidR="00C13AD5" w:rsidRPr="00494B77">
        <w:rPr>
          <w:szCs w:val="24"/>
        </w:rPr>
        <w:t>Objednateli</w:t>
      </w:r>
      <w:r w:rsidRPr="00494B77">
        <w:rPr>
          <w:szCs w:val="24"/>
        </w:rPr>
        <w:t xml:space="preserve"> a </w:t>
      </w:r>
      <w:r w:rsidR="00C13AD5" w:rsidRPr="00494B77">
        <w:rPr>
          <w:szCs w:val="24"/>
        </w:rPr>
        <w:t>Správce</w:t>
      </w:r>
      <w:r w:rsidRPr="00494B77">
        <w:rPr>
          <w:szCs w:val="24"/>
        </w:rPr>
        <w:t xml:space="preserve"> s ním nesmí krýt žádný ze vzniklých schodků na finanční hotovosti. V případě, že bude při kontrole zjištěno, že </w:t>
      </w:r>
      <w:r w:rsidR="00C13AD5" w:rsidRPr="00494B77">
        <w:rPr>
          <w:szCs w:val="24"/>
        </w:rPr>
        <w:t>Správce</w:t>
      </w:r>
      <w:r w:rsidRPr="00494B77">
        <w:rPr>
          <w:szCs w:val="24"/>
        </w:rPr>
        <w:t xml:space="preserve"> takovýto přebytek </w:t>
      </w:r>
      <w:r w:rsidR="00C13AD5" w:rsidRPr="00494B77">
        <w:rPr>
          <w:szCs w:val="24"/>
        </w:rPr>
        <w:t>Objednateli</w:t>
      </w:r>
      <w:r w:rsidRPr="00494B77">
        <w:rPr>
          <w:szCs w:val="24"/>
        </w:rPr>
        <w:t xml:space="preserve"> zatajil, má </w:t>
      </w:r>
      <w:r w:rsidR="00C13AD5" w:rsidRPr="00494B77">
        <w:rPr>
          <w:szCs w:val="24"/>
        </w:rPr>
        <w:t>Objednatel</w:t>
      </w:r>
      <w:r w:rsidRPr="00494B77">
        <w:rPr>
          <w:szCs w:val="24"/>
        </w:rPr>
        <w:t xml:space="preserve"> právo odstoupit od smlouvy</w:t>
      </w:r>
      <w:r w:rsidR="00494B77">
        <w:rPr>
          <w:szCs w:val="24"/>
        </w:rPr>
        <w:t>.</w:t>
      </w:r>
    </w:p>
    <w:p w:rsidR="0041715F" w:rsidRPr="00494B77" w:rsidRDefault="0041715F" w:rsidP="00C13AD5">
      <w:pPr>
        <w:rPr>
          <w:b/>
          <w:szCs w:val="24"/>
        </w:rPr>
      </w:pPr>
    </w:p>
    <w:p w:rsidR="0041715F" w:rsidRPr="00494B77" w:rsidRDefault="0041715F" w:rsidP="00C13AD5">
      <w:pPr>
        <w:rPr>
          <w:b/>
          <w:szCs w:val="24"/>
        </w:rPr>
      </w:pPr>
      <w:r w:rsidRPr="00494B77">
        <w:rPr>
          <w:b/>
          <w:szCs w:val="24"/>
        </w:rPr>
        <w:t>Sankční ujednání</w:t>
      </w:r>
    </w:p>
    <w:p w:rsidR="0041715F" w:rsidRPr="00494B77" w:rsidRDefault="0041715F" w:rsidP="0041715F">
      <w:pPr>
        <w:jc w:val="center"/>
        <w:rPr>
          <w:b/>
          <w:szCs w:val="24"/>
        </w:rPr>
      </w:pPr>
    </w:p>
    <w:p w:rsidR="0041715F" w:rsidRPr="00494B77" w:rsidRDefault="0041715F" w:rsidP="00C13AD5">
      <w:pPr>
        <w:jc w:val="both"/>
        <w:rPr>
          <w:szCs w:val="24"/>
        </w:rPr>
      </w:pPr>
      <w:r w:rsidRPr="00494B77">
        <w:rPr>
          <w:szCs w:val="24"/>
        </w:rPr>
        <w:t xml:space="preserve">V případě zjištěného rozdílu (schodku) na finanční hotovosti vyšším než 0,2% dle </w:t>
      </w:r>
      <w:r w:rsidR="00C13AD5" w:rsidRPr="00494B77">
        <w:rPr>
          <w:szCs w:val="24"/>
        </w:rPr>
        <w:t>předchozího odstavce,</w:t>
      </w:r>
      <w:r w:rsidRPr="00494B77">
        <w:rPr>
          <w:szCs w:val="24"/>
        </w:rPr>
        <w:t xml:space="preserve"> věta druhá, který vznikl bez zavinění</w:t>
      </w:r>
      <w:r w:rsidR="00DA5E3F" w:rsidRPr="00494B77">
        <w:rPr>
          <w:szCs w:val="24"/>
        </w:rPr>
        <w:t xml:space="preserve"> Objednatele</w:t>
      </w:r>
      <w:r w:rsidRPr="00494B77">
        <w:rPr>
          <w:szCs w:val="24"/>
        </w:rPr>
        <w:t xml:space="preserve">, je </w:t>
      </w:r>
      <w:r w:rsidR="00DA5E3F" w:rsidRPr="00494B77">
        <w:rPr>
          <w:szCs w:val="24"/>
        </w:rPr>
        <w:t>Správce</w:t>
      </w:r>
      <w:r w:rsidRPr="00494B77">
        <w:rPr>
          <w:szCs w:val="24"/>
        </w:rPr>
        <w:t xml:space="preserve"> povinen nahradit </w:t>
      </w:r>
      <w:r w:rsidR="00DA5E3F" w:rsidRPr="00494B77">
        <w:rPr>
          <w:szCs w:val="24"/>
        </w:rPr>
        <w:t xml:space="preserve">Objednateli </w:t>
      </w:r>
      <w:r w:rsidRPr="00494B77">
        <w:rPr>
          <w:szCs w:val="24"/>
        </w:rPr>
        <w:t xml:space="preserve">vzniklou škodu a zaplatit smluvní pokutu ve výši 10.000,- Kč za každé takové zjištění rozdílu. V případě, že bude schodek na finanční hotovosti vyšší než 3.000,-Kč, činí výše smluvní pokuty 50.000,-Kč. V případě, že </w:t>
      </w:r>
      <w:r w:rsidR="00DA5E3F" w:rsidRPr="00494B77">
        <w:rPr>
          <w:szCs w:val="24"/>
        </w:rPr>
        <w:t>Správce</w:t>
      </w:r>
      <w:r w:rsidRPr="00494B77">
        <w:rPr>
          <w:szCs w:val="24"/>
        </w:rPr>
        <w:t xml:space="preserve"> zatají </w:t>
      </w:r>
      <w:r w:rsidR="00DA5E3F" w:rsidRPr="00494B77">
        <w:rPr>
          <w:szCs w:val="24"/>
        </w:rPr>
        <w:t>Objednateli</w:t>
      </w:r>
      <w:r w:rsidRPr="00494B77">
        <w:rPr>
          <w:szCs w:val="24"/>
        </w:rPr>
        <w:t xml:space="preserve"> přebytek na vybrané finanční hotovosti, je povinen zaplatit smluvní pokutu ve výši 100.000,- Kč. </w:t>
      </w:r>
      <w:r w:rsidR="001911C6" w:rsidRPr="00494B77">
        <w:rPr>
          <w:szCs w:val="24"/>
        </w:rPr>
        <w:t>Správce</w:t>
      </w:r>
      <w:r w:rsidRPr="00494B77">
        <w:rPr>
          <w:szCs w:val="24"/>
        </w:rPr>
        <w:t xml:space="preserve"> souhlasí s výší smluvních pokut a považuje je za adekvátní ve vztahu k porušované povinnosti.</w:t>
      </w:r>
    </w:p>
    <w:p w:rsidR="0041715F" w:rsidRPr="00494B77" w:rsidRDefault="0041715F" w:rsidP="0041715F">
      <w:pPr>
        <w:ind w:left="357" w:hanging="357"/>
        <w:jc w:val="both"/>
        <w:rPr>
          <w:szCs w:val="24"/>
        </w:rPr>
      </w:pPr>
    </w:p>
    <w:p w:rsidR="0041715F" w:rsidRPr="00494B77" w:rsidRDefault="0041715F" w:rsidP="00DA5E3F">
      <w:pPr>
        <w:jc w:val="both"/>
        <w:rPr>
          <w:szCs w:val="24"/>
        </w:rPr>
      </w:pPr>
      <w:r w:rsidRPr="00494B77">
        <w:rPr>
          <w:szCs w:val="24"/>
        </w:rPr>
        <w:t xml:space="preserve">V případě porušení ostatních povinností </w:t>
      </w:r>
      <w:r w:rsidR="00B804D4">
        <w:rPr>
          <w:szCs w:val="24"/>
        </w:rPr>
        <w:t>Správce</w:t>
      </w:r>
      <w:r w:rsidRPr="00494B77">
        <w:rPr>
          <w:szCs w:val="24"/>
        </w:rPr>
        <w:t xml:space="preserve"> uvedených v</w:t>
      </w:r>
      <w:r w:rsidR="00DA5E3F" w:rsidRPr="00494B77">
        <w:rPr>
          <w:szCs w:val="24"/>
        </w:rPr>
        <w:t> této příloze</w:t>
      </w:r>
      <w:r w:rsidRPr="00494B77">
        <w:rPr>
          <w:szCs w:val="24"/>
        </w:rPr>
        <w:t> </w:t>
      </w:r>
      <w:r w:rsidR="00DA5E3F" w:rsidRPr="00494B77">
        <w:rPr>
          <w:szCs w:val="24"/>
        </w:rPr>
        <w:t>č. 13,</w:t>
      </w:r>
      <w:r w:rsidRPr="00494B77">
        <w:rPr>
          <w:szCs w:val="24"/>
        </w:rPr>
        <w:t xml:space="preserve"> je </w:t>
      </w:r>
      <w:r w:rsidR="00DA5E3F" w:rsidRPr="00494B77">
        <w:rPr>
          <w:szCs w:val="24"/>
        </w:rPr>
        <w:t>Správce</w:t>
      </w:r>
      <w:r w:rsidRPr="00494B77">
        <w:rPr>
          <w:szCs w:val="24"/>
        </w:rPr>
        <w:t xml:space="preserve"> povinen zaplatit smluvní pokutu ve výši 10.000,- Kč za každé jednotlivé porušení těchto povinností.</w:t>
      </w:r>
    </w:p>
    <w:p w:rsidR="0041715F" w:rsidRPr="00494B77" w:rsidRDefault="0041715F" w:rsidP="0041715F">
      <w:pPr>
        <w:ind w:left="357" w:hanging="357"/>
        <w:jc w:val="both"/>
        <w:rPr>
          <w:szCs w:val="24"/>
        </w:rPr>
      </w:pPr>
    </w:p>
    <w:p w:rsidR="0041715F" w:rsidRPr="00494B77" w:rsidRDefault="0041715F" w:rsidP="00DA5E3F">
      <w:pPr>
        <w:jc w:val="both"/>
        <w:rPr>
          <w:szCs w:val="24"/>
        </w:rPr>
      </w:pPr>
      <w:r w:rsidRPr="00494B77">
        <w:rPr>
          <w:szCs w:val="24"/>
        </w:rPr>
        <w:t xml:space="preserve">Zaplacení smluvní pokuty nezbavuje </w:t>
      </w:r>
      <w:r w:rsidR="00DA5E3F" w:rsidRPr="00494B77">
        <w:rPr>
          <w:szCs w:val="24"/>
        </w:rPr>
        <w:t>Správce</w:t>
      </w:r>
      <w:r w:rsidRPr="00494B77">
        <w:rPr>
          <w:szCs w:val="24"/>
        </w:rPr>
        <w:t xml:space="preserve"> povinnosti, jejíž porušení je smluvní pokutou sankcionováno. </w:t>
      </w:r>
      <w:r w:rsidR="00DA5E3F" w:rsidRPr="00494B77">
        <w:rPr>
          <w:szCs w:val="24"/>
        </w:rPr>
        <w:t>Objednatel</w:t>
      </w:r>
      <w:r w:rsidRPr="00494B77">
        <w:rPr>
          <w:szCs w:val="24"/>
        </w:rPr>
        <w:t xml:space="preserve"> má též nárok na náhradu škody ve výši přesahující smluvní pokutu.</w:t>
      </w:r>
    </w:p>
    <w:p w:rsidR="0041715F" w:rsidRPr="00494B77" w:rsidRDefault="0041715F" w:rsidP="0041715F">
      <w:pPr>
        <w:ind w:left="705" w:hanging="705"/>
        <w:jc w:val="both"/>
        <w:rPr>
          <w:szCs w:val="24"/>
        </w:rPr>
      </w:pPr>
    </w:p>
    <w:p w:rsidR="0041715F" w:rsidRDefault="0041715F" w:rsidP="0041715F">
      <w:pPr>
        <w:ind w:left="705" w:hanging="705"/>
        <w:jc w:val="both"/>
        <w:rPr>
          <w:szCs w:val="24"/>
        </w:rPr>
      </w:pPr>
      <w:r w:rsidRPr="00494B77">
        <w:rPr>
          <w:szCs w:val="24"/>
        </w:rPr>
        <w:t xml:space="preserve">Splatnost smluvních pokut je 15 dní od doručení výzvy </w:t>
      </w:r>
      <w:r w:rsidR="00DA5E3F" w:rsidRPr="00494B77">
        <w:rPr>
          <w:szCs w:val="24"/>
        </w:rPr>
        <w:t>Objednatele</w:t>
      </w:r>
      <w:r w:rsidRPr="00494B77">
        <w:rPr>
          <w:szCs w:val="24"/>
        </w:rPr>
        <w:t xml:space="preserve"> k jejich uhrazení.</w:t>
      </w:r>
    </w:p>
    <w:p w:rsidR="00494B77" w:rsidRDefault="00494B77" w:rsidP="0041715F">
      <w:pPr>
        <w:ind w:left="705" w:hanging="705"/>
        <w:jc w:val="both"/>
        <w:rPr>
          <w:szCs w:val="24"/>
        </w:rPr>
      </w:pPr>
    </w:p>
    <w:p w:rsidR="00494B77" w:rsidRPr="00494B77" w:rsidRDefault="00494B77" w:rsidP="00494B77">
      <w:pPr>
        <w:jc w:val="both"/>
        <w:rPr>
          <w:szCs w:val="24"/>
        </w:rPr>
      </w:pPr>
      <w:r w:rsidRPr="00494B77">
        <w:rPr>
          <w:szCs w:val="24"/>
        </w:rPr>
        <w:t>Za Zpracová</w:t>
      </w:r>
      <w:r w:rsidR="00A574B6">
        <w:rPr>
          <w:szCs w:val="24"/>
        </w:rPr>
        <w:t>ní finanční hotovosti dle této P</w:t>
      </w:r>
      <w:bookmarkStart w:id="0" w:name="_GoBack"/>
      <w:bookmarkEnd w:id="0"/>
      <w:r w:rsidRPr="00494B77">
        <w:rPr>
          <w:szCs w:val="24"/>
        </w:rPr>
        <w:t xml:space="preserve">řílohy č. 13 náleží Správci paušální měsíční odměna ve výši </w:t>
      </w:r>
      <w:r w:rsidRPr="00494B77">
        <w:rPr>
          <w:szCs w:val="24"/>
          <w:highlight w:val="yellow"/>
        </w:rPr>
        <w:t>………</w:t>
      </w:r>
      <w:r w:rsidRPr="00494B77">
        <w:rPr>
          <w:szCs w:val="24"/>
        </w:rPr>
        <w:t xml:space="preserve"> Kč.</w:t>
      </w:r>
    </w:p>
    <w:p w:rsidR="00494B77" w:rsidRPr="00494B77" w:rsidRDefault="00494B77" w:rsidP="0041715F">
      <w:pPr>
        <w:ind w:left="705" w:hanging="705"/>
        <w:jc w:val="both"/>
        <w:rPr>
          <w:szCs w:val="24"/>
        </w:rPr>
      </w:pPr>
    </w:p>
    <w:p w:rsidR="00AF1B66" w:rsidRPr="00494B77" w:rsidRDefault="000754BF">
      <w:pPr>
        <w:rPr>
          <w:szCs w:val="24"/>
        </w:rPr>
      </w:pPr>
    </w:p>
    <w:sectPr w:rsidR="00AF1B66" w:rsidRPr="00494B77" w:rsidSect="0041715F">
      <w:footerReference w:type="even" r:id="rId8"/>
      <w:footerReference w:type="default" r:id="rId9"/>
      <w:headerReference w:type="first" r:id="rId10"/>
      <w:footerReference w:type="first" r:id="rId11"/>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4BF" w:rsidRDefault="000754BF" w:rsidP="0041715F">
      <w:r>
        <w:separator/>
      </w:r>
    </w:p>
  </w:endnote>
  <w:endnote w:type="continuationSeparator" w:id="0">
    <w:p w:rsidR="000754BF" w:rsidRDefault="000754BF" w:rsidP="00417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AF318C"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0754B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AF318C"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A574B6">
      <w:rPr>
        <w:b/>
        <w:noProof/>
        <w:sz w:val="22"/>
        <w:szCs w:val="22"/>
      </w:rPr>
      <w:t>3</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A574B6">
      <w:rPr>
        <w:b/>
        <w:noProof/>
        <w:sz w:val="22"/>
        <w:szCs w:val="22"/>
      </w:rPr>
      <w:t>3</w:t>
    </w:r>
    <w:r w:rsidRPr="00E86EC1">
      <w:rPr>
        <w:b/>
        <w:sz w:val="22"/>
        <w:szCs w:val="22"/>
      </w:rPr>
      <w:fldChar w:fldCharType="end"/>
    </w:r>
  </w:p>
  <w:p w:rsidR="007447C6" w:rsidRPr="00E86EC1" w:rsidRDefault="000754BF"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551A" w:rsidRDefault="00DD551A">
    <w:pPr>
      <w:pStyle w:val="Zpat"/>
    </w:pPr>
  </w:p>
  <w:p w:rsidR="00203569" w:rsidRDefault="000754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4BF" w:rsidRDefault="000754BF" w:rsidP="0041715F">
      <w:r>
        <w:separator/>
      </w:r>
    </w:p>
  </w:footnote>
  <w:footnote w:type="continuationSeparator" w:id="0">
    <w:p w:rsidR="000754BF" w:rsidRDefault="000754BF" w:rsidP="004171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0754BF" w:rsidP="0041715F">
    <w:pPr>
      <w:pStyle w:val="Zhlav"/>
      <w:tabs>
        <w:tab w:val="clear" w:pos="4536"/>
      </w:tabs>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EA1E6E"/>
    <w:multiLevelType w:val="hybridMultilevel"/>
    <w:tmpl w:val="F5CE602C"/>
    <w:lvl w:ilvl="0" w:tplc="041B000F">
      <w:start w:val="1"/>
      <w:numFmt w:val="decimal"/>
      <w:lvlText w:val="%1."/>
      <w:lvlJc w:val="left"/>
      <w:pPr>
        <w:tabs>
          <w:tab w:val="num" w:pos="720"/>
        </w:tabs>
        <w:ind w:left="720" w:hanging="360"/>
      </w:pPr>
      <w:rPr>
        <w:rFonts w:hint="default"/>
      </w:rPr>
    </w:lvl>
    <w:lvl w:ilvl="1" w:tplc="D67003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968"/>
    <w:rsid w:val="000754BF"/>
    <w:rsid w:val="001911C6"/>
    <w:rsid w:val="00230C9C"/>
    <w:rsid w:val="002A4D8E"/>
    <w:rsid w:val="003234CD"/>
    <w:rsid w:val="0041715F"/>
    <w:rsid w:val="00494366"/>
    <w:rsid w:val="00494B77"/>
    <w:rsid w:val="00495151"/>
    <w:rsid w:val="00540394"/>
    <w:rsid w:val="00626F19"/>
    <w:rsid w:val="00837180"/>
    <w:rsid w:val="008478CD"/>
    <w:rsid w:val="009B5785"/>
    <w:rsid w:val="00A11540"/>
    <w:rsid w:val="00A574B6"/>
    <w:rsid w:val="00AF318C"/>
    <w:rsid w:val="00B804D4"/>
    <w:rsid w:val="00BA06A2"/>
    <w:rsid w:val="00C13AD5"/>
    <w:rsid w:val="00DA5E3F"/>
    <w:rsid w:val="00DB1303"/>
    <w:rsid w:val="00DD551A"/>
    <w:rsid w:val="00DE3253"/>
    <w:rsid w:val="00F17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71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41715F"/>
    <w:pPr>
      <w:keepNext/>
      <w:tabs>
        <w:tab w:val="left" w:pos="1980"/>
      </w:tabs>
      <w:jc w:val="both"/>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1715F"/>
    <w:rPr>
      <w:rFonts w:ascii="Times New Roman" w:eastAsia="Times New Roman" w:hAnsi="Times New Roman" w:cs="Times New Roman"/>
      <w:b/>
      <w:szCs w:val="20"/>
      <w:lang w:eastAsia="cs-CZ"/>
    </w:rPr>
  </w:style>
  <w:style w:type="paragraph" w:styleId="Zhlav">
    <w:name w:val="header"/>
    <w:basedOn w:val="Normln"/>
    <w:link w:val="ZhlavChar"/>
    <w:uiPriority w:val="99"/>
    <w:rsid w:val="0041715F"/>
    <w:pPr>
      <w:tabs>
        <w:tab w:val="center" w:pos="4536"/>
        <w:tab w:val="right" w:pos="9072"/>
      </w:tabs>
    </w:pPr>
  </w:style>
  <w:style w:type="character" w:customStyle="1" w:styleId="ZhlavChar">
    <w:name w:val="Záhlaví Char"/>
    <w:basedOn w:val="Standardnpsmoodstavce"/>
    <w:link w:val="Zhlav"/>
    <w:uiPriority w:val="99"/>
    <w:rsid w:val="0041715F"/>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41715F"/>
    <w:pPr>
      <w:tabs>
        <w:tab w:val="center" w:pos="4536"/>
        <w:tab w:val="right" w:pos="9072"/>
      </w:tabs>
    </w:pPr>
  </w:style>
  <w:style w:type="character" w:customStyle="1" w:styleId="ZpatChar">
    <w:name w:val="Zápatí Char"/>
    <w:basedOn w:val="Standardnpsmoodstavce"/>
    <w:link w:val="Zpat"/>
    <w:uiPriority w:val="99"/>
    <w:rsid w:val="0041715F"/>
    <w:rPr>
      <w:rFonts w:ascii="Times New Roman" w:eastAsia="Times New Roman" w:hAnsi="Times New Roman" w:cs="Times New Roman"/>
      <w:sz w:val="24"/>
      <w:szCs w:val="20"/>
      <w:lang w:eastAsia="cs-CZ"/>
    </w:rPr>
  </w:style>
  <w:style w:type="character" w:styleId="slostrnky">
    <w:name w:val="page number"/>
    <w:basedOn w:val="Standardnpsmoodstavce"/>
    <w:rsid w:val="0041715F"/>
  </w:style>
  <w:style w:type="paragraph" w:styleId="Odstavecseseznamem">
    <w:name w:val="List Paragraph"/>
    <w:basedOn w:val="Normln"/>
    <w:uiPriority w:val="34"/>
    <w:qFormat/>
    <w:rsid w:val="0041715F"/>
    <w:pPr>
      <w:overflowPunct/>
      <w:autoSpaceDE/>
      <w:autoSpaceDN/>
      <w:adjustRightInd/>
      <w:ind w:left="720"/>
      <w:contextualSpacing/>
      <w:textAlignment w:val="auto"/>
    </w:pPr>
    <w:rPr>
      <w:sz w:val="20"/>
    </w:rPr>
  </w:style>
  <w:style w:type="paragraph" w:customStyle="1" w:styleId="Default">
    <w:name w:val="Default"/>
    <w:basedOn w:val="Normln"/>
    <w:rsid w:val="0041715F"/>
    <w:pPr>
      <w:overflowPunct/>
      <w:adjustRightInd/>
      <w:textAlignment w:val="auto"/>
    </w:pPr>
    <w:rPr>
      <w:rFonts w:eastAsia="Calibri"/>
      <w:color w:val="000000"/>
      <w:szCs w:val="24"/>
      <w:lang w:eastAsia="en-US"/>
    </w:rPr>
  </w:style>
  <w:style w:type="paragraph" w:customStyle="1" w:styleId="Normln1">
    <w:name w:val="Normální1"/>
    <w:rsid w:val="0041715F"/>
    <w:pPr>
      <w:widowControl w:val="0"/>
      <w:spacing w:after="0" w:line="240" w:lineRule="auto"/>
    </w:pPr>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semiHidden/>
    <w:unhideWhenUsed/>
    <w:rsid w:val="0041715F"/>
    <w:pPr>
      <w:spacing w:after="120"/>
      <w:ind w:left="283"/>
    </w:pPr>
  </w:style>
  <w:style w:type="character" w:customStyle="1" w:styleId="ZkladntextodsazenChar">
    <w:name w:val="Základní text odsazený Char"/>
    <w:basedOn w:val="Standardnpsmoodstavce"/>
    <w:link w:val="Zkladntextodsazen"/>
    <w:uiPriority w:val="99"/>
    <w:semiHidden/>
    <w:rsid w:val="0041715F"/>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41715F"/>
    <w:rPr>
      <w:rFonts w:ascii="Tahoma" w:hAnsi="Tahoma" w:cs="Tahoma"/>
      <w:sz w:val="16"/>
      <w:szCs w:val="16"/>
    </w:rPr>
  </w:style>
  <w:style w:type="character" w:customStyle="1" w:styleId="TextbublinyChar">
    <w:name w:val="Text bubliny Char"/>
    <w:basedOn w:val="Standardnpsmoodstavce"/>
    <w:link w:val="Textbubliny"/>
    <w:uiPriority w:val="99"/>
    <w:semiHidden/>
    <w:rsid w:val="0041715F"/>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BA06A2"/>
    <w:rPr>
      <w:sz w:val="16"/>
      <w:szCs w:val="16"/>
    </w:rPr>
  </w:style>
  <w:style w:type="paragraph" w:styleId="Textkomente">
    <w:name w:val="annotation text"/>
    <w:basedOn w:val="Normln"/>
    <w:link w:val="TextkomenteChar"/>
    <w:uiPriority w:val="99"/>
    <w:semiHidden/>
    <w:unhideWhenUsed/>
    <w:rsid w:val="00BA06A2"/>
    <w:rPr>
      <w:sz w:val="20"/>
    </w:rPr>
  </w:style>
  <w:style w:type="character" w:customStyle="1" w:styleId="TextkomenteChar">
    <w:name w:val="Text komentáře Char"/>
    <w:basedOn w:val="Standardnpsmoodstavce"/>
    <w:link w:val="Textkomente"/>
    <w:uiPriority w:val="99"/>
    <w:semiHidden/>
    <w:rsid w:val="00BA06A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A06A2"/>
    <w:rPr>
      <w:b/>
      <w:bCs/>
    </w:rPr>
  </w:style>
  <w:style w:type="character" w:customStyle="1" w:styleId="PedmtkomenteChar">
    <w:name w:val="Předmět komentáře Char"/>
    <w:basedOn w:val="TextkomenteChar"/>
    <w:link w:val="Pedmtkomente"/>
    <w:uiPriority w:val="99"/>
    <w:semiHidden/>
    <w:rsid w:val="00BA06A2"/>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1715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41715F"/>
    <w:pPr>
      <w:keepNext/>
      <w:tabs>
        <w:tab w:val="left" w:pos="1980"/>
      </w:tabs>
      <w:jc w:val="both"/>
      <w:outlineLvl w:val="0"/>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1715F"/>
    <w:rPr>
      <w:rFonts w:ascii="Times New Roman" w:eastAsia="Times New Roman" w:hAnsi="Times New Roman" w:cs="Times New Roman"/>
      <w:b/>
      <w:szCs w:val="20"/>
      <w:lang w:eastAsia="cs-CZ"/>
    </w:rPr>
  </w:style>
  <w:style w:type="paragraph" w:styleId="Zhlav">
    <w:name w:val="header"/>
    <w:basedOn w:val="Normln"/>
    <w:link w:val="ZhlavChar"/>
    <w:uiPriority w:val="99"/>
    <w:rsid w:val="0041715F"/>
    <w:pPr>
      <w:tabs>
        <w:tab w:val="center" w:pos="4536"/>
        <w:tab w:val="right" w:pos="9072"/>
      </w:tabs>
    </w:pPr>
  </w:style>
  <w:style w:type="character" w:customStyle="1" w:styleId="ZhlavChar">
    <w:name w:val="Záhlaví Char"/>
    <w:basedOn w:val="Standardnpsmoodstavce"/>
    <w:link w:val="Zhlav"/>
    <w:uiPriority w:val="99"/>
    <w:rsid w:val="0041715F"/>
    <w:rPr>
      <w:rFonts w:ascii="Times New Roman" w:eastAsia="Times New Roman" w:hAnsi="Times New Roman" w:cs="Times New Roman"/>
      <w:sz w:val="24"/>
      <w:szCs w:val="20"/>
      <w:lang w:eastAsia="cs-CZ"/>
    </w:rPr>
  </w:style>
  <w:style w:type="paragraph" w:styleId="Zpat">
    <w:name w:val="footer"/>
    <w:basedOn w:val="Normln"/>
    <w:link w:val="ZpatChar"/>
    <w:uiPriority w:val="99"/>
    <w:rsid w:val="0041715F"/>
    <w:pPr>
      <w:tabs>
        <w:tab w:val="center" w:pos="4536"/>
        <w:tab w:val="right" w:pos="9072"/>
      </w:tabs>
    </w:pPr>
  </w:style>
  <w:style w:type="character" w:customStyle="1" w:styleId="ZpatChar">
    <w:name w:val="Zápatí Char"/>
    <w:basedOn w:val="Standardnpsmoodstavce"/>
    <w:link w:val="Zpat"/>
    <w:uiPriority w:val="99"/>
    <w:rsid w:val="0041715F"/>
    <w:rPr>
      <w:rFonts w:ascii="Times New Roman" w:eastAsia="Times New Roman" w:hAnsi="Times New Roman" w:cs="Times New Roman"/>
      <w:sz w:val="24"/>
      <w:szCs w:val="20"/>
      <w:lang w:eastAsia="cs-CZ"/>
    </w:rPr>
  </w:style>
  <w:style w:type="character" w:styleId="slostrnky">
    <w:name w:val="page number"/>
    <w:basedOn w:val="Standardnpsmoodstavce"/>
    <w:rsid w:val="0041715F"/>
  </w:style>
  <w:style w:type="paragraph" w:styleId="Odstavecseseznamem">
    <w:name w:val="List Paragraph"/>
    <w:basedOn w:val="Normln"/>
    <w:uiPriority w:val="34"/>
    <w:qFormat/>
    <w:rsid w:val="0041715F"/>
    <w:pPr>
      <w:overflowPunct/>
      <w:autoSpaceDE/>
      <w:autoSpaceDN/>
      <w:adjustRightInd/>
      <w:ind w:left="720"/>
      <w:contextualSpacing/>
      <w:textAlignment w:val="auto"/>
    </w:pPr>
    <w:rPr>
      <w:sz w:val="20"/>
    </w:rPr>
  </w:style>
  <w:style w:type="paragraph" w:customStyle="1" w:styleId="Default">
    <w:name w:val="Default"/>
    <w:basedOn w:val="Normln"/>
    <w:rsid w:val="0041715F"/>
    <w:pPr>
      <w:overflowPunct/>
      <w:adjustRightInd/>
      <w:textAlignment w:val="auto"/>
    </w:pPr>
    <w:rPr>
      <w:rFonts w:eastAsia="Calibri"/>
      <w:color w:val="000000"/>
      <w:szCs w:val="24"/>
      <w:lang w:eastAsia="en-US"/>
    </w:rPr>
  </w:style>
  <w:style w:type="paragraph" w:customStyle="1" w:styleId="Normln1">
    <w:name w:val="Normální1"/>
    <w:rsid w:val="0041715F"/>
    <w:pPr>
      <w:widowControl w:val="0"/>
      <w:spacing w:after="0" w:line="240" w:lineRule="auto"/>
    </w:pPr>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iPriority w:val="99"/>
    <w:semiHidden/>
    <w:unhideWhenUsed/>
    <w:rsid w:val="0041715F"/>
    <w:pPr>
      <w:spacing w:after="120"/>
      <w:ind w:left="283"/>
    </w:pPr>
  </w:style>
  <w:style w:type="character" w:customStyle="1" w:styleId="ZkladntextodsazenChar">
    <w:name w:val="Základní text odsazený Char"/>
    <w:basedOn w:val="Standardnpsmoodstavce"/>
    <w:link w:val="Zkladntextodsazen"/>
    <w:uiPriority w:val="99"/>
    <w:semiHidden/>
    <w:rsid w:val="0041715F"/>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41715F"/>
    <w:rPr>
      <w:rFonts w:ascii="Tahoma" w:hAnsi="Tahoma" w:cs="Tahoma"/>
      <w:sz w:val="16"/>
      <w:szCs w:val="16"/>
    </w:rPr>
  </w:style>
  <w:style w:type="character" w:customStyle="1" w:styleId="TextbublinyChar">
    <w:name w:val="Text bubliny Char"/>
    <w:basedOn w:val="Standardnpsmoodstavce"/>
    <w:link w:val="Textbubliny"/>
    <w:uiPriority w:val="99"/>
    <w:semiHidden/>
    <w:rsid w:val="0041715F"/>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BA06A2"/>
    <w:rPr>
      <w:sz w:val="16"/>
      <w:szCs w:val="16"/>
    </w:rPr>
  </w:style>
  <w:style w:type="paragraph" w:styleId="Textkomente">
    <w:name w:val="annotation text"/>
    <w:basedOn w:val="Normln"/>
    <w:link w:val="TextkomenteChar"/>
    <w:uiPriority w:val="99"/>
    <w:semiHidden/>
    <w:unhideWhenUsed/>
    <w:rsid w:val="00BA06A2"/>
    <w:rPr>
      <w:sz w:val="20"/>
    </w:rPr>
  </w:style>
  <w:style w:type="character" w:customStyle="1" w:styleId="TextkomenteChar">
    <w:name w:val="Text komentáře Char"/>
    <w:basedOn w:val="Standardnpsmoodstavce"/>
    <w:link w:val="Textkomente"/>
    <w:uiPriority w:val="99"/>
    <w:semiHidden/>
    <w:rsid w:val="00BA06A2"/>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A06A2"/>
    <w:rPr>
      <w:b/>
      <w:bCs/>
    </w:rPr>
  </w:style>
  <w:style w:type="character" w:customStyle="1" w:styleId="PedmtkomenteChar">
    <w:name w:val="Předmět komentáře Char"/>
    <w:basedOn w:val="TextkomenteChar"/>
    <w:link w:val="Pedmtkomente"/>
    <w:uiPriority w:val="99"/>
    <w:semiHidden/>
    <w:rsid w:val="00BA06A2"/>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1398</Words>
  <Characters>8252</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Skála Daniel, Mgr.</dc:creator>
  <cp:lastModifiedBy>Skála Daniel, Mgr.</cp:lastModifiedBy>
  <cp:revision>8</cp:revision>
  <dcterms:created xsi:type="dcterms:W3CDTF">2017-12-19T09:54:00Z</dcterms:created>
  <dcterms:modified xsi:type="dcterms:W3CDTF">2018-03-06T08:29:00Z</dcterms:modified>
</cp:coreProperties>
</file>